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0" w:rsidRPr="008C5A3F" w:rsidRDefault="008C5A3F" w:rsidP="008C5A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 wp14:anchorId="04F9E292" wp14:editId="0175B483">
            <wp:simplePos x="0" y="0"/>
            <wp:positionH relativeFrom="column">
              <wp:posOffset>-209550</wp:posOffset>
            </wp:positionH>
            <wp:positionV relativeFrom="paragraph">
              <wp:posOffset>-224155</wp:posOffset>
            </wp:positionV>
            <wp:extent cx="157162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469" y="20954"/>
                <wp:lineTo x="21469" y="0"/>
                <wp:lineTo x="0" y="0"/>
              </wp:wrapPolygon>
            </wp:wrapTight>
            <wp:docPr id="1" name="Picture 1" descr="SVC_Logo_colou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C_Logo_colour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A0" w:rsidRPr="002D5CA0">
        <w:rPr>
          <w:rFonts w:ascii="Arial" w:eastAsia="Times New Roman" w:hAnsi="Arial" w:cs="Arial"/>
          <w:b/>
          <w:bCs/>
          <w:color w:val="000000"/>
          <w:kern w:val="28"/>
          <w:sz w:val="60"/>
          <w:szCs w:val="60"/>
          <w:lang w:val="en-US" w:eastAsia="en-AU"/>
          <w14:cntxtAlts/>
        </w:rPr>
        <w:t>Application</w:t>
      </w:r>
      <w:r w:rsidR="002D5CA0" w:rsidRPr="002D5CA0">
        <w:rPr>
          <w:rFonts w:ascii="Arial" w:eastAsia="Times New Roman" w:hAnsi="Arial" w:cs="Arial"/>
          <w:b/>
          <w:bCs/>
          <w:color w:val="000000"/>
          <w:kern w:val="28"/>
          <w:sz w:val="56"/>
          <w:szCs w:val="56"/>
          <w:lang w:val="en-US" w:eastAsia="en-AU"/>
          <w14:cntxtAlts/>
        </w:rPr>
        <w:t xml:space="preserve"> for Street Stall</w:t>
      </w:r>
    </w:p>
    <w:p w:rsidR="002D5CA0" w:rsidRPr="002D5CA0" w:rsidRDefault="002D5CA0" w:rsidP="002D5C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</w:p>
    <w:p w:rsidR="002D5CA0" w:rsidRPr="002D5CA0" w:rsidRDefault="002D5CA0" w:rsidP="002D5C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Name of Organisation:</w:t>
      </w:r>
      <w:r w:rsidR="008C5A3F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 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 ___________________________________________________________</w:t>
      </w:r>
    </w:p>
    <w:p w:rsidR="002D5CA0" w:rsidRPr="002D5CA0" w:rsidRDefault="002D5CA0" w:rsidP="002D5C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Postal Address: ___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ab/>
        <w:t>______________________________</w:t>
      </w:r>
      <w:r w:rsidR="008C5A3F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________________________________</w:t>
      </w:r>
    </w:p>
    <w:p w:rsidR="002D5CA0" w:rsidRPr="002D5CA0" w:rsidRDefault="008C5A3F" w:rsidP="002D5C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Contact Person:   __</w:t>
      </w:r>
      <w:r w:rsidR="002D5CA0"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______________________________________________________________</w:t>
      </w:r>
    </w:p>
    <w:p w:rsidR="002D5CA0" w:rsidRDefault="008C5A3F" w:rsidP="002D5C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Phone Number:   __</w:t>
      </w:r>
      <w:r w:rsidR="002D5CA0"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______________________________________________________________</w:t>
      </w:r>
    </w:p>
    <w:p w:rsidR="00E47F99" w:rsidRPr="002D5CA0" w:rsidRDefault="00E47F99" w:rsidP="002D5C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Email:  ________________________________________________________________________</w:t>
      </w:r>
    </w:p>
    <w:p w:rsidR="002D5CA0" w:rsidRPr="002D5CA0" w:rsidRDefault="002D5CA0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</w:p>
    <w:p w:rsidR="002D5CA0" w:rsidRPr="002D5CA0" w:rsidRDefault="002D5CA0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The above organisation wishes to conduct a street stall within the commercial area of:</w:t>
      </w:r>
    </w:p>
    <w:tbl>
      <w:tblPr>
        <w:tblW w:w="11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8"/>
        <w:gridCol w:w="3688"/>
      </w:tblGrid>
      <w:tr w:rsidR="002D5CA0" w:rsidRPr="002D5CA0" w:rsidTr="00A52772">
        <w:trPr>
          <w:trHeight w:val="470"/>
        </w:trPr>
        <w:tc>
          <w:tcPr>
            <w:tcW w:w="368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CA0" w:rsidRPr="002D5CA0" w:rsidRDefault="002D5CA0" w:rsidP="002D5CA0">
            <w:pPr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AU"/>
                <w14:cntxtAlts/>
              </w:rPr>
            </w:pPr>
            <w:r w:rsidRPr="002D5C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F8F2429" wp14:editId="316B324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3362325</wp:posOffset>
                      </wp:positionV>
                      <wp:extent cx="7025640" cy="298450"/>
                      <wp:effectExtent l="1905" t="0" r="190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2564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65pt;margin-top:264.75pt;width:553.2pt;height:2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Pj4AIAAPI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D5CA0">
              <w:rPr>
                <w:rFonts w:ascii="Arial" w:eastAsia="Times New Roman" w:hAnsi="Arial" w:cs="Arial"/>
                <w:color w:val="000000"/>
                <w:kern w:val="28"/>
                <w:sz w:val="40"/>
                <w:szCs w:val="40"/>
                <w:lang w:val="en-US" w:eastAsia="en-AU"/>
                <w14:cntxtAlts/>
              </w:rPr>
              <w:t>□</w:t>
            </w: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ab/>
              <w:t xml:space="preserve">Tumut </w:t>
            </w: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ab/>
            </w:r>
          </w:p>
        </w:tc>
        <w:tc>
          <w:tcPr>
            <w:tcW w:w="368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CA0" w:rsidRPr="002D5CA0" w:rsidRDefault="002D5CA0" w:rsidP="002D5CA0">
            <w:pPr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40"/>
                <w:szCs w:val="40"/>
                <w:lang w:val="en-US" w:eastAsia="en-AU"/>
                <w14:cntxtAlts/>
              </w:rPr>
              <w:t>□</w:t>
            </w: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ab/>
              <w:t>Adelong</w:t>
            </w: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ab/>
            </w:r>
          </w:p>
        </w:tc>
        <w:tc>
          <w:tcPr>
            <w:tcW w:w="368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CA0" w:rsidRPr="002D5CA0" w:rsidRDefault="002D5CA0" w:rsidP="002D5CA0">
            <w:pPr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40"/>
                <w:szCs w:val="40"/>
                <w:lang w:val="en-US" w:eastAsia="en-AU"/>
                <w14:cntxtAlts/>
              </w:rPr>
              <w:t>□</w:t>
            </w: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ab/>
              <w:t>Batlow</w:t>
            </w: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ab/>
            </w:r>
          </w:p>
        </w:tc>
      </w:tr>
    </w:tbl>
    <w:p w:rsidR="002D5CA0" w:rsidRPr="002D5CA0" w:rsidRDefault="002D5CA0" w:rsidP="002D5CA0">
      <w:pPr>
        <w:widowControl w:val="0"/>
        <w:spacing w:after="0" w:line="18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</w:p>
    <w:p w:rsidR="002D5CA0" w:rsidRPr="002D5CA0" w:rsidRDefault="008C5A3F" w:rsidP="002D5CA0">
      <w:pPr>
        <w:widowControl w:val="0"/>
        <w:spacing w:after="0" w:line="18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proofErr w:type="spellStart"/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Organisation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s</w:t>
      </w:r>
      <w:proofErr w:type="spellEnd"/>
      <w:r w:rsidR="002D5CA0"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 are advised:</w:t>
      </w:r>
    </w:p>
    <w:p w:rsidR="002D5CA0" w:rsidRPr="002D5CA0" w:rsidRDefault="002D5CA0" w:rsidP="002D5CA0">
      <w:pPr>
        <w:widowControl w:val="0"/>
        <w:spacing w:after="0" w:line="240" w:lineRule="auto"/>
        <w:ind w:left="851" w:hanging="296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  <w14:ligatures w14:val="standard"/>
          <w14:cntxtAlts/>
        </w:rPr>
        <w:t>1.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They are required to hold Public Liability Insurance ($20,000,000). Council requires documentary proof of such cover to accompany this application.</w:t>
      </w:r>
    </w:p>
    <w:p w:rsidR="002D5CA0" w:rsidRPr="002D5CA0" w:rsidRDefault="002D5CA0" w:rsidP="002D5CA0">
      <w:pPr>
        <w:widowControl w:val="0"/>
        <w:spacing w:after="0" w:line="240" w:lineRule="auto"/>
        <w:ind w:left="1125" w:hanging="57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  <w14:ligatures w14:val="standard"/>
          <w14:cntxtAlts/>
        </w:rPr>
        <w:t>2.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Stalls are restricted to:</w:t>
      </w:r>
    </w:p>
    <w:p w:rsidR="002D5CA0" w:rsidRPr="002D5CA0" w:rsidRDefault="002D5CA0" w:rsidP="002D5CA0">
      <w:pPr>
        <w:widowControl w:val="0"/>
        <w:spacing w:after="0" w:line="240" w:lineRule="auto"/>
        <w:ind w:left="1125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 Tumut: Wednesday to Saturday</w:t>
      </w:r>
    </w:p>
    <w:p w:rsidR="002D5CA0" w:rsidRPr="002D5CA0" w:rsidRDefault="002D5CA0" w:rsidP="002D5CA0">
      <w:pPr>
        <w:widowControl w:val="0"/>
        <w:spacing w:after="0" w:line="240" w:lineRule="auto"/>
        <w:ind w:left="1125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 Adelong: Wednesday to Saturday</w:t>
      </w:r>
    </w:p>
    <w:p w:rsidR="002D5CA0" w:rsidRPr="002D5CA0" w:rsidRDefault="002D5CA0" w:rsidP="002D5CA0">
      <w:pPr>
        <w:widowControl w:val="0"/>
        <w:spacing w:after="0" w:line="240" w:lineRule="auto"/>
        <w:ind w:left="1125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 Batlow: Any day</w:t>
      </w:r>
    </w:p>
    <w:p w:rsidR="002D5CA0" w:rsidRPr="002D5CA0" w:rsidRDefault="002D5CA0" w:rsidP="002D5CA0">
      <w:pPr>
        <w:widowControl w:val="0"/>
        <w:spacing w:after="0" w:line="240" w:lineRule="auto"/>
        <w:ind w:left="851" w:hanging="236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  <w14:ligatures w14:val="standard"/>
          <w14:cntxtAlts/>
        </w:rPr>
        <w:t>3.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Anyone in a right-of-way, doorway, or on private land adjoining a street, shall not sell or offer for sale to any person in such street, any ticket in a lottery/raffle without Council approval.</w:t>
      </w:r>
    </w:p>
    <w:p w:rsidR="002D5CA0" w:rsidRPr="002D5CA0" w:rsidRDefault="002D5CA0" w:rsidP="002D5CA0">
      <w:pPr>
        <w:widowControl w:val="0"/>
        <w:spacing w:after="0" w:line="240" w:lineRule="auto"/>
        <w:ind w:left="851" w:hanging="236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  <w14:ligatures w14:val="standard"/>
          <w14:cntxtAlts/>
        </w:rPr>
        <w:t>4.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In order to avoid conflict between operators, only one (1) street stall shall be conducted on any given day.</w:t>
      </w:r>
    </w:p>
    <w:p w:rsidR="002D5CA0" w:rsidRPr="002D5CA0" w:rsidRDefault="002D5CA0" w:rsidP="002D5CA0">
      <w:pPr>
        <w:widowControl w:val="0"/>
        <w:spacing w:after="0" w:line="240" w:lineRule="auto"/>
        <w:ind w:left="851" w:hanging="236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  <w14:ligatures w14:val="standard"/>
          <w14:cntxtAlts/>
        </w:rPr>
        <w:t>5.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Due to the high number of applications received for stalls on Thursday and Friday, </w:t>
      </w:r>
      <w:proofErr w:type="spellStart"/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organisations</w:t>
      </w:r>
      <w:proofErr w:type="spellEnd"/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 xml:space="preserve"> are restricted to only one stall per year on either day, unless vacancies exist after the initial processing of applications.</w:t>
      </w:r>
    </w:p>
    <w:p w:rsidR="002D5CA0" w:rsidRPr="002D5CA0" w:rsidRDefault="002D5CA0" w:rsidP="002D5CA0">
      <w:pPr>
        <w:widowControl w:val="0"/>
        <w:spacing w:after="0" w:line="240" w:lineRule="auto"/>
        <w:ind w:left="851" w:hanging="236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  <w14:ligatures w14:val="standard"/>
          <w14:cntxtAlts/>
        </w:rPr>
        <w:t>6.</w:t>
      </w: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If any vacancies exist after processing the first round of applications, additional applications will be considered by Council.</w:t>
      </w:r>
    </w:p>
    <w:p w:rsidR="002D5CA0" w:rsidRPr="002D5CA0" w:rsidRDefault="002D5CA0" w:rsidP="002D5C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en-AU"/>
          <w14:cntxtAlts/>
        </w:rPr>
      </w:pP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en-AU"/>
          <w14:cntxtAlts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  <w:t>Stall One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>Preferred Date: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>Second Preference: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>Third Preference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</w:tbl>
    <w:p w:rsidR="002D5CA0" w:rsidRPr="002D5CA0" w:rsidRDefault="002D5CA0" w:rsidP="002D5CA0">
      <w:pPr>
        <w:widowControl w:val="0"/>
        <w:spacing w:after="0" w:line="30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val="en-US" w:eastAsia="en-AU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  <w:t>Stall Two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>Preferred Date: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>Second Preference: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  <w:tr w:rsidR="002D5CA0" w:rsidRPr="002D5CA0" w:rsidTr="00A52772">
        <w:tc>
          <w:tcPr>
            <w:tcW w:w="2802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</w:pPr>
            <w:r w:rsidRPr="002D5CA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AU"/>
                <w14:cntxtAlts/>
              </w:rPr>
              <w:t>Third Preference</w:t>
            </w:r>
          </w:p>
        </w:tc>
        <w:tc>
          <w:tcPr>
            <w:tcW w:w="7880" w:type="dxa"/>
          </w:tcPr>
          <w:p w:rsidR="002D5CA0" w:rsidRPr="002D5CA0" w:rsidRDefault="002D5CA0" w:rsidP="002D5CA0">
            <w:pPr>
              <w:widowControl w:val="0"/>
              <w:spacing w:line="30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AU"/>
                <w14:cntxtAlts/>
              </w:rPr>
            </w:pPr>
          </w:p>
        </w:tc>
      </w:tr>
    </w:tbl>
    <w:p w:rsidR="008C5A3F" w:rsidRDefault="008C5A3F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</w:p>
    <w:p w:rsidR="002D5CA0" w:rsidRPr="002D5CA0" w:rsidRDefault="002D5CA0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________________________________ (signature)</w:t>
      </w: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ab/>
        <w:t>____________________________ (date)</w:t>
      </w:r>
    </w:p>
    <w:p w:rsidR="002D5CA0" w:rsidRPr="002D5CA0" w:rsidRDefault="002D5CA0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 </w:t>
      </w:r>
    </w:p>
    <w:p w:rsidR="002D5CA0" w:rsidRPr="002D5CA0" w:rsidRDefault="002D5CA0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________________________________ (name)</w:t>
      </w:r>
    </w:p>
    <w:p w:rsidR="009C6625" w:rsidRPr="008C5A3F" w:rsidRDefault="002D5CA0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AU"/>
          <w14:cntxtAlts/>
        </w:rPr>
        <w:t> </w:t>
      </w:r>
    </w:p>
    <w:p w:rsidR="009C6625" w:rsidRDefault="009C6625" w:rsidP="002D5C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9C6625" w:rsidRDefault="009C6625" w:rsidP="003756EF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Applications close 5pm Friday 7</w:t>
      </w:r>
      <w:r w:rsidRPr="009C6625">
        <w:rPr>
          <w:rFonts w:ascii="Arial" w:eastAsia="Times New Roman" w:hAnsi="Arial" w:cs="Arial"/>
          <w:color w:val="000000"/>
          <w:kern w:val="28"/>
          <w:sz w:val="20"/>
          <w:szCs w:val="20"/>
          <w:vertAlign w:val="superscript"/>
          <w:lang w:val="en-US" w:eastAsia="en-AU"/>
          <w14:cntxtAlts/>
        </w:rPr>
        <w:t>th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December 2018. Please return this application to </w:t>
      </w:r>
      <w:r w:rsidR="00E47F9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Council’s Tumut Office at</w:t>
      </w:r>
      <w:r w:rsidR="003756E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76 Capper Street,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Tumut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or via email to info@svc.nsw.gov.au</w:t>
      </w:r>
    </w:p>
    <w:p w:rsidR="00E47F99" w:rsidRDefault="002D5CA0" w:rsidP="00902A1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Note: </w:t>
      </w:r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47F9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Applications may also be lodged at the Adelong and Batlow Libraries.</w:t>
      </w:r>
    </w:p>
    <w:p w:rsidR="002D5CA0" w:rsidRPr="002D5CA0" w:rsidRDefault="002D5CA0" w:rsidP="00902A1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Adelong Library, Tumut Street, Adelong, </w:t>
      </w:r>
      <w:proofErr w:type="spellStart"/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Ph</w:t>
      </w:r>
      <w:proofErr w:type="spellEnd"/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/Fax: 02 6946 2270</w:t>
      </w:r>
    </w:p>
    <w:p w:rsidR="002D5CA0" w:rsidRPr="002D5CA0" w:rsidRDefault="002D5CA0" w:rsidP="00902A1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Batlow Library, Pioneer Street, Batlow, </w:t>
      </w:r>
      <w:proofErr w:type="spellStart"/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Ph</w:t>
      </w:r>
      <w:proofErr w:type="spellEnd"/>
      <w:r w:rsidRPr="002D5CA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/Fax: 02 6949 1315</w:t>
      </w:r>
    </w:p>
    <w:p w:rsidR="002D5CA0" w:rsidRPr="009C6625" w:rsidRDefault="002D5CA0" w:rsidP="009C6625">
      <w:pPr>
        <w:widowControl w:val="0"/>
        <w:spacing w:after="0" w:line="240" w:lineRule="auto"/>
        <w:rPr>
          <w:rFonts w:ascii="Arial" w:eastAsia="Times New Roman" w:hAnsi="Arial" w:cs="Arial"/>
          <w:kern w:val="28"/>
          <w:lang w:val="en-US" w:eastAsia="en-AU"/>
          <w14:cntxtAlts/>
        </w:rPr>
      </w:pPr>
      <w:r w:rsidRPr="002D5CA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en-AU"/>
          <w14:cntxtAlts/>
        </w:rPr>
        <w:lastRenderedPageBreak/>
        <w:t> </w:t>
      </w:r>
    </w:p>
    <w:p w:rsidR="002D5CA0" w:rsidRPr="002D5CA0" w:rsidRDefault="002D5CA0" w:rsidP="002D5CA0">
      <w:pPr>
        <w:jc w:val="center"/>
        <w:rPr>
          <w:rFonts w:ascii="Arial" w:eastAsia="Times New Roman" w:hAnsi="Arial" w:cs="Arial"/>
          <w:kern w:val="28"/>
          <w:lang w:val="en-US" w:eastAsia="en-AU"/>
          <w14:cntxtAlts/>
        </w:rPr>
      </w:pPr>
      <w:r w:rsidRPr="002D5CA0">
        <w:rPr>
          <w:rFonts w:ascii="Arial" w:eastAsia="Times New Roman" w:hAnsi="Arial" w:cs="Arial"/>
          <w:b/>
          <w:bCs/>
          <w:color w:val="000000"/>
          <w:kern w:val="28"/>
          <w:sz w:val="60"/>
          <w:szCs w:val="60"/>
          <w:lang w:val="en-US" w:eastAsia="en-AU"/>
          <w14:cntxtAlts/>
        </w:rPr>
        <w:t>Street Stall Conditions</w:t>
      </w:r>
    </w:p>
    <w:p w:rsidR="002D5CA0" w:rsidRPr="002D5CA0" w:rsidRDefault="002D5CA0" w:rsidP="002D5CA0">
      <w:pPr>
        <w:widowControl w:val="0"/>
        <w:spacing w:after="40" w:line="240" w:lineRule="auto"/>
        <w:rPr>
          <w:rFonts w:ascii="Arial" w:eastAsia="Times New Roman" w:hAnsi="Arial" w:cs="Arial"/>
          <w:kern w:val="28"/>
          <w:lang w:val="en-US" w:eastAsia="en-AU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cntxtAlts/>
        </w:rPr>
        <w:t>Your application to conduct a street stall/s in Tumut/Adelong/Batlow will be considered for the date/s to be notified. Your signature on the application for will confirm that you agree to conduct the street stall in accordance with the following conditions: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 xml:space="preserve">The stall shall be conducted in such a manner so as not to cause undue obstruction of the </w:t>
      </w:r>
      <w:proofErr w:type="gramStart"/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footpath,</w:t>
      </w:r>
      <w:proofErr w:type="gramEnd"/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 xml:space="preserve"> this includes the placement of ‘A’ framed signs. A minimum of 2 meters clear passage must be maintained on the footpath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 xml:space="preserve">Location of stalls: </w:t>
      </w:r>
    </w:p>
    <w:p w:rsidR="002D5CA0" w:rsidRPr="002D5CA0" w:rsidRDefault="002D5CA0" w:rsidP="002D5CA0">
      <w:pPr>
        <w:numPr>
          <w:ilvl w:val="0"/>
          <w:numId w:val="2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 xml:space="preserve">Tumut stalls should be located in front of House to Home, Wynyard Street Tumut. </w:t>
      </w:r>
    </w:p>
    <w:p w:rsidR="002D5CA0" w:rsidRPr="002D5CA0" w:rsidRDefault="002D5CA0" w:rsidP="002D5CA0">
      <w:pPr>
        <w:numPr>
          <w:ilvl w:val="0"/>
          <w:numId w:val="2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 xml:space="preserve">Adelong stalls should be located in front of the Adelong Supermarket, Tumut Street, </w:t>
      </w:r>
      <w:proofErr w:type="gramStart"/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Adelong</w:t>
      </w:r>
      <w:proofErr w:type="gramEnd"/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.</w:t>
      </w:r>
    </w:p>
    <w:p w:rsidR="002D5CA0" w:rsidRPr="002D5CA0" w:rsidRDefault="002D5CA0" w:rsidP="002D5CA0">
      <w:pPr>
        <w:numPr>
          <w:ilvl w:val="0"/>
          <w:numId w:val="2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Batlow stalls should be located near the library on Pioneer Street, Batlow or the IGA supermarket as applicable.</w:t>
      </w:r>
    </w:p>
    <w:p w:rsidR="002D5CA0" w:rsidRPr="002D5CA0" w:rsidRDefault="002D5CA0" w:rsidP="002D5CA0">
      <w:pPr>
        <w:numPr>
          <w:ilvl w:val="0"/>
          <w:numId w:val="2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Alternative locations may be approved with the consent in writing of the shop proprietor of which the proposed stall is to be located.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Insurance - A minimum public liability insurance of $20,000,000) is required by street stall operators. Proof of insurance must be presented with the application prior to approval.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Food sale and service</w:t>
      </w:r>
    </w:p>
    <w:p w:rsidR="002D5CA0" w:rsidRPr="002D5CA0" w:rsidRDefault="002D5CA0" w:rsidP="002D5CA0">
      <w:pPr>
        <w:numPr>
          <w:ilvl w:val="0"/>
          <w:numId w:val="3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All food shall be protected from contamination by pre-packing, using clean containers or plastic wrapping.</w:t>
      </w:r>
    </w:p>
    <w:p w:rsidR="002D5CA0" w:rsidRPr="002D5CA0" w:rsidRDefault="002D5CA0" w:rsidP="002D5CA0">
      <w:pPr>
        <w:numPr>
          <w:ilvl w:val="0"/>
          <w:numId w:val="3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Food shall not be prepared on site.</w:t>
      </w:r>
    </w:p>
    <w:p w:rsidR="002D5CA0" w:rsidRPr="002D5CA0" w:rsidRDefault="002D5CA0" w:rsidP="002D5CA0">
      <w:pPr>
        <w:numPr>
          <w:ilvl w:val="0"/>
          <w:numId w:val="3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Perishable food shall not be sold unless approved storage facilities are provided.</w:t>
      </w:r>
    </w:p>
    <w:p w:rsidR="002D5CA0" w:rsidRPr="002D5CA0" w:rsidRDefault="002D5CA0" w:rsidP="002D5CA0">
      <w:pPr>
        <w:numPr>
          <w:ilvl w:val="0"/>
          <w:numId w:val="3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All food shall be kept 600mm above footpath level.</w:t>
      </w:r>
    </w:p>
    <w:p w:rsidR="002D5CA0" w:rsidRPr="002D5CA0" w:rsidRDefault="002D5CA0" w:rsidP="002D5CA0">
      <w:pPr>
        <w:numPr>
          <w:ilvl w:val="0"/>
          <w:numId w:val="3"/>
        </w:numPr>
        <w:spacing w:after="40" w:line="240" w:lineRule="auto"/>
        <w:ind w:left="1276" w:hanging="283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Every package of food shall be clearly labeled with the following particulars:</w:t>
      </w:r>
    </w:p>
    <w:p w:rsidR="002D5CA0" w:rsidRPr="002D5CA0" w:rsidRDefault="002D5CA0" w:rsidP="002D5CA0">
      <w:pPr>
        <w:numPr>
          <w:ilvl w:val="0"/>
          <w:numId w:val="4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The common name of the product;</w:t>
      </w:r>
    </w:p>
    <w:p w:rsidR="002D5CA0" w:rsidRPr="002D5CA0" w:rsidRDefault="002D5CA0" w:rsidP="002D5CA0">
      <w:pPr>
        <w:numPr>
          <w:ilvl w:val="0"/>
          <w:numId w:val="4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The name of the maker or responsible organisation; and</w:t>
      </w:r>
    </w:p>
    <w:p w:rsidR="002D5CA0" w:rsidRPr="002D5CA0" w:rsidRDefault="002D5CA0" w:rsidP="002D5CA0">
      <w:pPr>
        <w:numPr>
          <w:ilvl w:val="0"/>
          <w:numId w:val="4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Date of manufacture</w:t>
      </w:r>
    </w:p>
    <w:p w:rsidR="002D5CA0" w:rsidRPr="002D5CA0" w:rsidRDefault="002D5CA0" w:rsidP="002D5CA0">
      <w:pPr>
        <w:numPr>
          <w:ilvl w:val="0"/>
          <w:numId w:val="4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 xml:space="preserve">Any product containing nuts must be clearly marked as they are life-threatening to many people with allergies. </w:t>
      </w:r>
    </w:p>
    <w:p w:rsidR="002D5CA0" w:rsidRPr="002D5CA0" w:rsidRDefault="002D5CA0" w:rsidP="002D5CA0">
      <w:pPr>
        <w:numPr>
          <w:ilvl w:val="0"/>
          <w:numId w:val="4"/>
        </w:numPr>
        <w:spacing w:after="40" w:line="240" w:lineRule="auto"/>
        <w:contextualSpacing/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Cs/>
          <w:kern w:val="28"/>
          <w:lang w:val="en-US" w:eastAsia="en-AU"/>
          <w14:ligatures w14:val="standard"/>
          <w14:cntxtAlts/>
        </w:rPr>
        <w:t>Labelling does not need to be difficult. A simple hand written label is sufficient.</w:t>
      </w:r>
    </w:p>
    <w:p w:rsidR="002D5CA0" w:rsidRPr="002D5CA0" w:rsidRDefault="002D5CA0" w:rsidP="002D5CA0">
      <w:pPr>
        <w:spacing w:after="40" w:line="240" w:lineRule="auto"/>
        <w:rPr>
          <w:rFonts w:ascii="Arial" w:eastAsia="Times New Roman" w:hAnsi="Arial" w:cs="Arial"/>
          <w:b/>
          <w:bCs/>
          <w:kern w:val="28"/>
          <w:u w:val="single"/>
          <w:lang w:val="en-US" w:eastAsia="en-AU"/>
          <w14:ligatures w14:val="standard"/>
          <w14:cntxtAlts/>
        </w:rPr>
      </w:pPr>
    </w:p>
    <w:p w:rsidR="002D5CA0" w:rsidRPr="002D5CA0" w:rsidRDefault="002D5CA0" w:rsidP="002D5CA0">
      <w:pPr>
        <w:spacing w:after="40" w:line="240" w:lineRule="auto"/>
        <w:rPr>
          <w:rFonts w:ascii="Arial" w:eastAsia="Times New Roman" w:hAnsi="Arial" w:cs="Arial"/>
          <w:b/>
          <w:bCs/>
          <w:kern w:val="28"/>
          <w:u w:val="single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b/>
          <w:bCs/>
          <w:kern w:val="28"/>
          <w:u w:val="single"/>
          <w:lang w:val="en-US" w:eastAsia="en-AU"/>
          <w14:ligatures w14:val="standard"/>
          <w14:cntxtAlts/>
        </w:rPr>
        <w:t>General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This license is not transferable and you are asked to notify Council as early as possible in the event of the stall being cancelled.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 xml:space="preserve">No parked vehicle associated with the street stall shall be more that 6 </w:t>
      </w:r>
      <w:proofErr w:type="spellStart"/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metres</w:t>
      </w:r>
      <w:proofErr w:type="spellEnd"/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 xml:space="preserve"> long or use more than one parking space.  Consideration must therefore be given to the size of any vehicle used to display fire wood associated with a wood raffle.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 xml:space="preserve">Selling of plants is subjected to registration by NSW Agriculture under the Horticultural Stock and Nurseries Act. Subject to conditions, charitable </w:t>
      </w:r>
      <w:proofErr w:type="spellStart"/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organisations</w:t>
      </w:r>
      <w:proofErr w:type="spellEnd"/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 xml:space="preserve"> are exempt from the registration fee. For further information contact the NSW Agricultural Inspector, Tumut (02) 6947 4188.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 xml:space="preserve">It may be necessary for you to obtain an authority to fundraise from the Office of Charities, GPO Box 7005, Sydney NSW 2001, </w:t>
      </w:r>
      <w:proofErr w:type="gramStart"/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phone</w:t>
      </w:r>
      <w:proofErr w:type="gramEnd"/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: (02) 9995 0300.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Council must be given advance notice if the street stall is cancelled. This will allow the date to be re-allocated.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In approving Street Stalls, priority is given to National Appeal Days, which may be held on any day of the week.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Council will call for submission of applications in October/November each year. Approvals will be granted in December for the ensuing 12 months. Approvals throughout the year will only be granted if vacancies exist.</w:t>
      </w:r>
    </w:p>
    <w:p w:rsidR="002D5CA0" w:rsidRPr="002D5CA0" w:rsidRDefault="002D5CA0" w:rsidP="002D5CA0">
      <w:pPr>
        <w:numPr>
          <w:ilvl w:val="0"/>
          <w:numId w:val="1"/>
        </w:numPr>
        <w:spacing w:after="40" w:line="240" w:lineRule="auto"/>
        <w:contextualSpacing/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</w:pPr>
      <w:r w:rsidRPr="002D5CA0">
        <w:rPr>
          <w:rFonts w:ascii="Arial" w:eastAsia="Times New Roman" w:hAnsi="Arial" w:cs="Arial"/>
          <w:kern w:val="28"/>
          <w:lang w:val="en-US" w:eastAsia="en-AU"/>
          <w14:ligatures w14:val="standard"/>
          <w14:cntxtAlts/>
        </w:rPr>
        <w:t>For further information please refer to the Council’s Street Stall Policy.</w:t>
      </w:r>
    </w:p>
    <w:p w:rsidR="002D5CA0" w:rsidRPr="002D5CA0" w:rsidRDefault="002D5CA0" w:rsidP="002D5CA0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23"/>
          <w:szCs w:val="23"/>
          <w:lang w:val="en-US" w:eastAsia="en-AU"/>
          <w14:cntxtAlts/>
        </w:rPr>
      </w:pPr>
    </w:p>
    <w:p w:rsidR="000C1540" w:rsidRPr="002D5CA0" w:rsidRDefault="000C1540" w:rsidP="002D5CA0"/>
    <w:sectPr w:rsidR="000C1540" w:rsidRPr="002D5CA0" w:rsidSect="009F6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A0" w:rsidRDefault="002D5CA0" w:rsidP="002D5CA0">
      <w:pPr>
        <w:spacing w:after="0" w:line="240" w:lineRule="auto"/>
      </w:pPr>
      <w:r>
        <w:separator/>
      </w:r>
    </w:p>
  </w:endnote>
  <w:endnote w:type="continuationSeparator" w:id="0">
    <w:p w:rsidR="002D5CA0" w:rsidRDefault="002D5CA0" w:rsidP="002D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0" w:rsidRDefault="002D5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0" w:rsidRDefault="002D5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0" w:rsidRDefault="002D5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A0" w:rsidRDefault="002D5CA0" w:rsidP="002D5CA0">
      <w:pPr>
        <w:spacing w:after="0" w:line="240" w:lineRule="auto"/>
      </w:pPr>
      <w:r>
        <w:separator/>
      </w:r>
    </w:p>
  </w:footnote>
  <w:footnote w:type="continuationSeparator" w:id="0">
    <w:p w:rsidR="002D5CA0" w:rsidRDefault="002D5CA0" w:rsidP="002D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0" w:rsidRDefault="002D5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43" w:rsidRDefault="003756EF" w:rsidP="009F6F4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0" w:rsidRDefault="002D5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301"/>
    <w:multiLevelType w:val="hybridMultilevel"/>
    <w:tmpl w:val="A48C3978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65197"/>
    <w:multiLevelType w:val="hybridMultilevel"/>
    <w:tmpl w:val="9F5E44C8"/>
    <w:lvl w:ilvl="0" w:tplc="04090015">
      <w:start w:val="1"/>
      <w:numFmt w:val="upperLetter"/>
      <w:lvlText w:val="%1."/>
      <w:lvlJc w:val="left"/>
      <w:pPr>
        <w:ind w:left="1996" w:hanging="360"/>
      </w:p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94446B6"/>
    <w:multiLevelType w:val="hybridMultilevel"/>
    <w:tmpl w:val="035E90C8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5B5C1A00"/>
    <w:multiLevelType w:val="hybridMultilevel"/>
    <w:tmpl w:val="83CC960E"/>
    <w:lvl w:ilvl="0" w:tplc="E7EE2FDE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0"/>
    <w:rsid w:val="00052F24"/>
    <w:rsid w:val="000C1540"/>
    <w:rsid w:val="00155B20"/>
    <w:rsid w:val="00177E8A"/>
    <w:rsid w:val="00183CD3"/>
    <w:rsid w:val="00187764"/>
    <w:rsid w:val="001B7C16"/>
    <w:rsid w:val="00201CC0"/>
    <w:rsid w:val="00251EDF"/>
    <w:rsid w:val="002D5CA0"/>
    <w:rsid w:val="003756EF"/>
    <w:rsid w:val="003E6801"/>
    <w:rsid w:val="003F074D"/>
    <w:rsid w:val="004E0611"/>
    <w:rsid w:val="00501590"/>
    <w:rsid w:val="00561706"/>
    <w:rsid w:val="00563A6F"/>
    <w:rsid w:val="005807AD"/>
    <w:rsid w:val="00590B61"/>
    <w:rsid w:val="00603243"/>
    <w:rsid w:val="00603795"/>
    <w:rsid w:val="0061567B"/>
    <w:rsid w:val="006465C7"/>
    <w:rsid w:val="00701A95"/>
    <w:rsid w:val="007479BC"/>
    <w:rsid w:val="007A1679"/>
    <w:rsid w:val="007C7D1C"/>
    <w:rsid w:val="007D7027"/>
    <w:rsid w:val="007E091D"/>
    <w:rsid w:val="00811C12"/>
    <w:rsid w:val="008631D1"/>
    <w:rsid w:val="0088213F"/>
    <w:rsid w:val="008C5A3F"/>
    <w:rsid w:val="00902A14"/>
    <w:rsid w:val="009C6625"/>
    <w:rsid w:val="00AC47BF"/>
    <w:rsid w:val="00C40D92"/>
    <w:rsid w:val="00C433A2"/>
    <w:rsid w:val="00CD3F80"/>
    <w:rsid w:val="00DB1ED2"/>
    <w:rsid w:val="00DB5543"/>
    <w:rsid w:val="00DC07D5"/>
    <w:rsid w:val="00E13CBA"/>
    <w:rsid w:val="00E47F99"/>
    <w:rsid w:val="00E957C9"/>
    <w:rsid w:val="00EB5722"/>
    <w:rsid w:val="00F87672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A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2D5CA0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2D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A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2D5CA0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2D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fdelany</dc:creator>
  <cp:lastModifiedBy>Shedden, Kaitlin</cp:lastModifiedBy>
  <cp:revision>7</cp:revision>
  <cp:lastPrinted>2018-10-05T01:56:00Z</cp:lastPrinted>
  <dcterms:created xsi:type="dcterms:W3CDTF">2018-10-04T02:00:00Z</dcterms:created>
  <dcterms:modified xsi:type="dcterms:W3CDTF">2018-10-05T02:00:00Z</dcterms:modified>
</cp:coreProperties>
</file>